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DA341" w14:textId="77777777" w:rsidR="00B96DA0" w:rsidRDefault="00B96DA0" w:rsidP="00B96DA0">
      <w:pPr>
        <w:pStyle w:val="Ttulo"/>
        <w:tabs>
          <w:tab w:val="left" w:pos="1701"/>
        </w:tabs>
        <w:spacing w:after="120"/>
        <w:rPr>
          <w:b w:val="0"/>
          <w:smallCaps w:val="0"/>
          <w:sz w:val="20"/>
          <w:szCs w:val="20"/>
        </w:rPr>
      </w:pPr>
      <w:r>
        <w:rPr>
          <w:noProof/>
          <w:lang w:val="pt-BR" w:eastAsia="pt-BR"/>
        </w:rPr>
        <w:drawing>
          <wp:inline distT="0" distB="0" distL="0" distR="0" wp14:anchorId="11916BD4" wp14:editId="12E2522D">
            <wp:extent cx="581025" cy="581025"/>
            <wp:effectExtent l="0" t="0" r="9525" b="9525"/>
            <wp:docPr id="198" name="Imagem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CC4B7" w14:textId="77777777" w:rsidR="00B96DA0" w:rsidRPr="0056460E" w:rsidRDefault="00B96DA0" w:rsidP="00B96DA0">
      <w:pPr>
        <w:pStyle w:val="Ttulo"/>
        <w:spacing w:after="120"/>
        <w:rPr>
          <w:b w:val="0"/>
          <w:smallCaps w:val="0"/>
          <w:sz w:val="20"/>
          <w:szCs w:val="20"/>
          <w:lang w:val="pt-BR"/>
        </w:rPr>
      </w:pPr>
      <w:r w:rsidRPr="0056460E">
        <w:rPr>
          <w:b w:val="0"/>
          <w:smallCaps w:val="0"/>
          <w:sz w:val="20"/>
          <w:szCs w:val="20"/>
          <w:lang w:val="pt-BR"/>
        </w:rPr>
        <w:t>Ministério do Meio Ambiente</w:t>
      </w:r>
    </w:p>
    <w:p w14:paraId="15B35AA1" w14:textId="77777777" w:rsidR="00B96DA0" w:rsidRPr="0056460E" w:rsidRDefault="00B96DA0" w:rsidP="00B96DA0">
      <w:pPr>
        <w:pStyle w:val="Ttulo"/>
        <w:spacing w:after="120"/>
        <w:rPr>
          <w:b w:val="0"/>
          <w:smallCaps w:val="0"/>
          <w:sz w:val="20"/>
          <w:szCs w:val="20"/>
          <w:lang w:val="pt-BR"/>
        </w:rPr>
      </w:pPr>
      <w:r w:rsidRPr="0056460E">
        <w:rPr>
          <w:b w:val="0"/>
          <w:smallCaps w:val="0"/>
          <w:sz w:val="20"/>
          <w:szCs w:val="20"/>
          <w:lang w:val="pt-BR"/>
        </w:rPr>
        <w:t>Conselho Nacional de Recursos Hídricos</w:t>
      </w:r>
    </w:p>
    <w:p w14:paraId="1CA8842B" w14:textId="77777777" w:rsidR="007D7CEB" w:rsidRDefault="007D7CEB" w:rsidP="00B96DA0">
      <w:pPr>
        <w:pStyle w:val="Recuodecorpodetexto21"/>
        <w:tabs>
          <w:tab w:val="left" w:pos="1440"/>
        </w:tabs>
        <w:spacing w:after="120"/>
        <w:ind w:right="0" w:firstLine="0"/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>PROPOSTA DE REVISÃO</w:t>
      </w:r>
    </w:p>
    <w:p w14:paraId="07E32983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0"/>
        <w:jc w:val="center"/>
        <w:rPr>
          <w:b/>
          <w:bCs/>
        </w:rPr>
      </w:pPr>
      <w:r>
        <w:rPr>
          <w:b/>
          <w:bCs/>
        </w:rPr>
        <w:t>RESOLUÇÃO N° 144, DE 10 de JULHO DE 2012</w:t>
      </w:r>
    </w:p>
    <w:p w14:paraId="30BC296F" w14:textId="77777777" w:rsidR="00B96DA0" w:rsidRDefault="00B96DA0" w:rsidP="00B96DA0">
      <w:pPr>
        <w:spacing w:after="120"/>
        <w:jc w:val="center"/>
        <w:rPr>
          <w:sz w:val="20"/>
          <w:szCs w:val="20"/>
          <w:lang w:val="pt-BR"/>
        </w:rPr>
      </w:pPr>
      <w:r w:rsidRPr="00D07935">
        <w:rPr>
          <w:sz w:val="20"/>
          <w:szCs w:val="20"/>
          <w:lang w:val="pt-BR"/>
        </w:rPr>
        <w:t>(Publicada no D.O.U em 04/09/2012)</w:t>
      </w:r>
    </w:p>
    <w:p w14:paraId="3D8E4C8F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left="3572" w:right="0" w:firstLine="0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Estabelece diretrizes para implementação da Política Nacional de Segurança de Barragens, aplicação de seus instrumentos e atuação do Sistema Nacional de Informações sobre Segurança de Barragens, em atendimento ao art. 20 da Lei n° 12.334, de 20 de setembro de 2010, que alterou o art. 35 da Lei nº 9.433, de 8 de janeiro de 1997.</w:t>
      </w:r>
    </w:p>
    <w:p w14:paraId="171BDD7F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left="3572" w:right="0" w:firstLine="0"/>
        <w:jc w:val="both"/>
        <w:rPr>
          <w:color w:val="943634"/>
        </w:rPr>
      </w:pPr>
    </w:p>
    <w:p w14:paraId="078748CF" w14:textId="322AD968" w:rsidR="00BD643C" w:rsidRPr="00BD643C" w:rsidRDefault="00B96DA0" w:rsidP="00BD643C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 xml:space="preserve">O </w:t>
      </w:r>
      <w:r>
        <w:rPr>
          <w:b/>
          <w:bCs/>
          <w:color w:val="000000"/>
        </w:rPr>
        <w:t>CONSELHO NACIONAL DE RECURSOS HÍDRICOS</w:t>
      </w:r>
      <w:r>
        <w:rPr>
          <w:color w:val="000000"/>
        </w:rPr>
        <w:t>, no uso das competências que lhe são conferidas pelas Leis n°</w:t>
      </w:r>
      <w:r w:rsidRPr="00072AD3">
        <w:rPr>
          <w:color w:val="000000"/>
          <w:vertAlign w:val="superscript"/>
        </w:rPr>
        <w:t>s</w:t>
      </w:r>
      <w:r>
        <w:rPr>
          <w:color w:val="000000"/>
        </w:rPr>
        <w:t xml:space="preserve"> 9.433, de 8 de janeiro de 1997, 9.984, de 17 de julho de 2000, e 12.334, de 20 de setembro de 2010, pelo Decreto nº 4.613, de 11 de março de 2003</w:t>
      </w:r>
      <w:r w:rsidR="00BD643C" w:rsidRPr="00BD643C">
        <w:rPr>
          <w:color w:val="000000"/>
          <w:lang w:val="pt-PT"/>
        </w:rPr>
        <w:t xml:space="preserve"> e tendo em vista o disposto no seu Regimento Interno, anexo à Portaria nº </w:t>
      </w:r>
      <w:r w:rsidR="00BD643C">
        <w:rPr>
          <w:color w:val="000000"/>
          <w:lang w:val="pt-PT"/>
        </w:rPr>
        <w:t>437, de 8 de novembro de 2013;</w:t>
      </w:r>
    </w:p>
    <w:p w14:paraId="36222D84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 xml:space="preserve">Considerando que compete ao Conselho Nacional de Recursos Hídricos zelar pela implementação da Política Nacional de Segurança de Barragens (PNSB), conforme inciso XI do Art. 35 da Lei n° 9.433, de 8 de janeiro de 1997; </w:t>
      </w:r>
    </w:p>
    <w:p w14:paraId="5838E19D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 xml:space="preserve">Considerando que compete ao Conselho Nacional de Recursos Hídricos estabelecer diretrizes para implementação da PNSB, aplicação de seus instrumentos e atuação do Sistema Nacional de Informações sobre Segurança de Barragens (SNISB), conforme inciso XII do Art. 35 da Lei n° 9.433, de 8 de janeiro de 1997, resolve: </w:t>
      </w:r>
    </w:p>
    <w:p w14:paraId="19343AE0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color w:val="000000"/>
        </w:rPr>
      </w:pPr>
    </w:p>
    <w:p w14:paraId="03C35A00" w14:textId="77777777" w:rsidR="00A1610A" w:rsidRDefault="00A1610A" w:rsidP="00A1610A">
      <w:pPr>
        <w:pStyle w:val="Recuodecorpodetexto21"/>
        <w:tabs>
          <w:tab w:val="left" w:pos="1440"/>
        </w:tabs>
        <w:spacing w:after="120"/>
        <w:ind w:right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B96DA0">
        <w:rPr>
          <w:color w:val="000000"/>
        </w:rPr>
        <w:t>CAPÍTULO I</w:t>
      </w:r>
      <w:r w:rsidR="00B96DA0">
        <w:rPr>
          <w:color w:val="000000"/>
        </w:rPr>
        <w:tab/>
      </w:r>
      <w:r w:rsidR="00B96DA0">
        <w:rPr>
          <w:color w:val="000000"/>
        </w:rPr>
        <w:tab/>
        <w:t xml:space="preserve"> </w:t>
      </w:r>
    </w:p>
    <w:p w14:paraId="7860756F" w14:textId="77777777" w:rsidR="00B96DA0" w:rsidRPr="00E33DC3" w:rsidRDefault="00A1610A" w:rsidP="00A1610A">
      <w:pPr>
        <w:pStyle w:val="Recuodecorpodetexto21"/>
        <w:tabs>
          <w:tab w:val="left" w:pos="1440"/>
        </w:tabs>
        <w:spacing w:after="120"/>
        <w:ind w:right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</w:t>
      </w:r>
      <w:r w:rsidR="00B96DA0">
        <w:rPr>
          <w:color w:val="000000"/>
        </w:rPr>
        <w:t xml:space="preserve">  DO OBJETIVO</w:t>
      </w:r>
    </w:p>
    <w:p w14:paraId="27860F73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color w:val="000000"/>
        </w:rPr>
      </w:pPr>
    </w:p>
    <w:p w14:paraId="5D0B6673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 xml:space="preserve">Art.1°. Estabelecer as diretrizes para implementação da Política Nacional de Segurança de Barragem, aplicação de seus instrumentos e atuação do Sistema Nacional de Informações sobre Segurança de Barragens em atendimento ao art. 20 da Lei n° 12.334, de 20 de setembro de 2010, que alterou o art. 35 da Lei nº 9.433, de 8 de janeiro de 1997. </w:t>
      </w:r>
    </w:p>
    <w:p w14:paraId="1966220C" w14:textId="77777777" w:rsidR="00B96DA0" w:rsidRDefault="00B96DA0" w:rsidP="00B96DA0">
      <w:pPr>
        <w:spacing w:after="120"/>
        <w:ind w:left="711" w:firstLine="709"/>
        <w:rPr>
          <w:lang w:val="pt-BR"/>
        </w:rPr>
      </w:pPr>
      <w:r w:rsidRPr="003F5DBA">
        <w:rPr>
          <w:lang w:val="pt-BR"/>
        </w:rPr>
        <w:t>Art. 2</w:t>
      </w:r>
      <w:r w:rsidRPr="003F5DBA">
        <w:rPr>
          <w:bCs/>
          <w:strike/>
        </w:rPr>
        <w:t>º</w:t>
      </w:r>
      <w:r w:rsidRPr="003F5DBA">
        <w:rPr>
          <w:lang w:val="pt-BR"/>
        </w:rPr>
        <w:t xml:space="preserve"> Para</w:t>
      </w:r>
      <w:r>
        <w:rPr>
          <w:lang w:val="pt-BR"/>
        </w:rPr>
        <w:t xml:space="preserve"> efeito desta Resolução consideram-se:</w:t>
      </w:r>
    </w:p>
    <w:p w14:paraId="7E34D8C8" w14:textId="77777777" w:rsidR="00B96DA0" w:rsidRDefault="00B96DA0" w:rsidP="00B96DA0">
      <w:pPr>
        <w:spacing w:after="120"/>
        <w:ind w:firstLine="1420"/>
        <w:rPr>
          <w:lang w:val="pt-BR"/>
        </w:rPr>
      </w:pPr>
      <w:r>
        <w:rPr>
          <w:lang w:val="pt-BR"/>
        </w:rPr>
        <w:t>I – acidente: comprometimento da integridade estrutural com liberação incontrolável do conteúdo de um reservatório ocasionado pelo colapso parcial ou total da barragem ou estrutura anexa; e</w:t>
      </w:r>
    </w:p>
    <w:p w14:paraId="4C6D7A39" w14:textId="77777777" w:rsidR="00B96DA0" w:rsidRDefault="00B96DA0" w:rsidP="00B96DA0">
      <w:pPr>
        <w:spacing w:after="120"/>
        <w:ind w:firstLine="1420"/>
        <w:rPr>
          <w:lang w:val="pt-BR"/>
        </w:rPr>
      </w:pPr>
      <w:r>
        <w:rPr>
          <w:lang w:val="pt-BR"/>
        </w:rPr>
        <w:t>II – incidente – qualquer ocorrência que afete o comportamento da barragem ou estrutura anexa que, se não for controlada, pode causar um acidente.</w:t>
      </w:r>
    </w:p>
    <w:p w14:paraId="1EF6C96E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rPr>
          <w:lang w:eastAsia="pt-PT"/>
        </w:rPr>
      </w:pPr>
      <w:r>
        <w:rPr>
          <w:lang w:eastAsia="pt-PT"/>
        </w:rPr>
        <w:tab/>
      </w:r>
      <w:r>
        <w:rPr>
          <w:lang w:eastAsia="pt-PT"/>
        </w:rPr>
        <w:tab/>
      </w:r>
      <w:r>
        <w:rPr>
          <w:lang w:eastAsia="pt-PT"/>
        </w:rPr>
        <w:tab/>
      </w:r>
      <w:r>
        <w:rPr>
          <w:lang w:eastAsia="pt-PT"/>
        </w:rPr>
        <w:tab/>
      </w:r>
      <w:r>
        <w:rPr>
          <w:lang w:eastAsia="pt-PT"/>
        </w:rPr>
        <w:tab/>
      </w:r>
      <w:r>
        <w:rPr>
          <w:lang w:eastAsia="pt-PT"/>
        </w:rPr>
        <w:tab/>
      </w:r>
      <w:r>
        <w:rPr>
          <w:lang w:eastAsia="pt-PT"/>
        </w:rPr>
        <w:tab/>
      </w:r>
      <w:r>
        <w:rPr>
          <w:lang w:eastAsia="pt-PT"/>
        </w:rPr>
        <w:tab/>
      </w:r>
    </w:p>
    <w:p w14:paraId="7C9A49F0" w14:textId="77777777" w:rsidR="00B96DA0" w:rsidRDefault="00A1610A" w:rsidP="00B96DA0">
      <w:pPr>
        <w:pStyle w:val="Recuodecorpodetexto21"/>
        <w:tabs>
          <w:tab w:val="left" w:pos="1440"/>
        </w:tabs>
        <w:spacing w:after="120"/>
        <w:ind w:right="0" w:firstLine="1440"/>
        <w:rPr>
          <w:color w:val="000000"/>
        </w:rPr>
      </w:pPr>
      <w:r>
        <w:rPr>
          <w:lang w:eastAsia="pt-PT"/>
        </w:rPr>
        <w:lastRenderedPageBreak/>
        <w:tab/>
      </w:r>
      <w:r>
        <w:rPr>
          <w:lang w:eastAsia="pt-PT"/>
        </w:rPr>
        <w:tab/>
      </w:r>
      <w:r>
        <w:rPr>
          <w:lang w:eastAsia="pt-PT"/>
        </w:rPr>
        <w:tab/>
      </w:r>
      <w:r w:rsidR="00B96DA0">
        <w:rPr>
          <w:color w:val="000000"/>
        </w:rPr>
        <w:t>CAPÍTULO II</w:t>
      </w:r>
    </w:p>
    <w:p w14:paraId="4613793E" w14:textId="77777777" w:rsidR="00B96DA0" w:rsidRPr="00E33DC3" w:rsidRDefault="00B96DA0" w:rsidP="00B96DA0">
      <w:pPr>
        <w:pStyle w:val="Recuodecorpodetexto21"/>
        <w:tabs>
          <w:tab w:val="left" w:pos="1440"/>
        </w:tabs>
        <w:spacing w:after="120"/>
        <w:ind w:right="0" w:firstLine="0"/>
        <w:jc w:val="center"/>
        <w:rPr>
          <w:color w:val="000000"/>
        </w:rPr>
      </w:pPr>
      <w:r>
        <w:rPr>
          <w:color w:val="000000"/>
        </w:rPr>
        <w:t>DAS DIRETRIZES GERAIS DA IMPLEMENTAÇÃO DA POLÍTICA NACIONAL DE SEGURANÇA DE BARRAGENS</w:t>
      </w:r>
    </w:p>
    <w:p w14:paraId="741F1F81" w14:textId="77777777" w:rsidR="00B96DA0" w:rsidRDefault="00B96DA0" w:rsidP="00B96DA0">
      <w:pPr>
        <w:spacing w:after="120"/>
        <w:ind w:firstLine="1420"/>
        <w:rPr>
          <w:lang w:val="pt-BR"/>
        </w:rPr>
      </w:pPr>
    </w:p>
    <w:p w14:paraId="69088BDA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Art. 3º. Constituem diretrizes gerais para implementação da Política Nacional de Segurança de Barragens:</w:t>
      </w:r>
    </w:p>
    <w:p w14:paraId="07EA0AEE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0"/>
        <w:jc w:val="both"/>
        <w:rPr>
          <w:color w:val="000000"/>
        </w:rPr>
      </w:pPr>
      <w:r>
        <w:rPr>
          <w:color w:val="000000"/>
        </w:rPr>
        <w:tab/>
        <w:t xml:space="preserve">I - a integração da Política Nacional de Segurança de Barragens às respectivas políticas setoriais; </w:t>
      </w:r>
    </w:p>
    <w:p w14:paraId="38B2130B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right="-1" w:firstLine="0"/>
        <w:jc w:val="both"/>
        <w:rPr>
          <w:color w:val="000000"/>
        </w:rPr>
      </w:pPr>
      <w:r>
        <w:rPr>
          <w:color w:val="000000"/>
        </w:rPr>
        <w:tab/>
        <w:t xml:space="preserve">II - a integração da gestão da segurança das barragens à segurança do empreendimento, em todas as suas fases; </w:t>
      </w:r>
    </w:p>
    <w:p w14:paraId="22916AE2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right="-1" w:firstLine="0"/>
        <w:jc w:val="both"/>
      </w:pPr>
      <w:r>
        <w:tab/>
        <w:t>III- a adequação da gestão da segurança das barragens às diversidades físicas, econômicas, sociais e ambientais das diversas regiões do país, às características técnicas dos empreendimentos e ao dano potencial das barragens;</w:t>
      </w:r>
    </w:p>
    <w:p w14:paraId="3FBE2A6E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right="-1" w:firstLine="0"/>
        <w:jc w:val="both"/>
        <w:rPr>
          <w:color w:val="000000"/>
        </w:rPr>
      </w:pPr>
      <w:r>
        <w:rPr>
          <w:color w:val="000000"/>
        </w:rPr>
        <w:tab/>
        <w:t xml:space="preserve">IV - a divulgação das informações relacionadas à segurança de barragens associadas a promoção de ações para esclarecimento da população; </w:t>
      </w:r>
    </w:p>
    <w:p w14:paraId="7D6E9EFD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</w:p>
    <w:p w14:paraId="17D658BB" w14:textId="77777777" w:rsidR="00B96DA0" w:rsidRDefault="00B96DA0" w:rsidP="00B96DA0">
      <w:pPr>
        <w:autoSpaceDE w:val="0"/>
        <w:spacing w:after="120"/>
        <w:jc w:val="center"/>
        <w:rPr>
          <w:lang w:val="pt-BR"/>
        </w:rPr>
      </w:pPr>
      <w:r>
        <w:rPr>
          <w:lang w:val="pt-BR"/>
        </w:rPr>
        <w:t>CAPÍTULO III</w:t>
      </w:r>
    </w:p>
    <w:p w14:paraId="1516CB7D" w14:textId="77777777" w:rsidR="00B96DA0" w:rsidRPr="00060CD0" w:rsidRDefault="00B96DA0" w:rsidP="00B96DA0">
      <w:pPr>
        <w:autoSpaceDE w:val="0"/>
        <w:spacing w:after="120"/>
        <w:jc w:val="center"/>
        <w:rPr>
          <w:bCs/>
        </w:rPr>
      </w:pPr>
      <w:r w:rsidRPr="00060CD0">
        <w:rPr>
          <w:bCs/>
        </w:rPr>
        <w:t>DO PLANO DE SEGURANÇA DA BARRAGEM</w:t>
      </w:r>
    </w:p>
    <w:p w14:paraId="26892DD0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>Art. 4º. O Plano de Segurança da Barragem deverá ser elaborado pelo empreendedor, e compreender no mínimo os seguintes itens:</w:t>
      </w:r>
    </w:p>
    <w:p w14:paraId="77AF4F43" w14:textId="77777777"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I - identificação do empreendedor;</w:t>
      </w:r>
    </w:p>
    <w:p w14:paraId="1B80C137" w14:textId="77777777"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II - dados técnicos referentes à implantação do empreendimento, inclusive, no caso de empreendimentos construídos após a promulgação da Lei nº 12.334, de 2010, do projeto como construído, bem como aqueles necessários para a operação e manutenção da barragem; </w:t>
      </w:r>
    </w:p>
    <w:p w14:paraId="358128D5" w14:textId="77777777"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III - estrutura organizacional e qualificação técnica dos profissionais da equipe de segurança da barragem;</w:t>
      </w:r>
    </w:p>
    <w:p w14:paraId="370842A7" w14:textId="77777777"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IV - manuais de procedimentos dos roteiros de inspeções de segurança e de monitoramento e relatórios de segurança da barragem;</w:t>
      </w:r>
    </w:p>
    <w:p w14:paraId="52F1E140" w14:textId="77777777"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V - regra operacional dos dispositivos de descarga da barragem;</w:t>
      </w:r>
    </w:p>
    <w:p w14:paraId="245B3343" w14:textId="77777777"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VI - indicação da área do entorno das instalações e seus respectivos acessos, a serem resguardados de quaisquer usos ou ocupações permanentes, exceto aqueles indispensáveis à manutenção e à operação da barragem;</w:t>
      </w:r>
    </w:p>
    <w:p w14:paraId="59CA511A" w14:textId="77777777"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VII - Plano de Ação de Emergência (PAE), quando exigido;</w:t>
      </w:r>
    </w:p>
    <w:p w14:paraId="41964263" w14:textId="77777777"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VIII - relatórios das inspeções de segurança;</w:t>
      </w:r>
    </w:p>
    <w:p w14:paraId="3C7DB80A" w14:textId="77777777"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IX - revisões periódicas de segurança.</w:t>
      </w:r>
    </w:p>
    <w:p w14:paraId="3E0A3CF0" w14:textId="77777777" w:rsidR="00B96DA0" w:rsidRDefault="00B96DA0" w:rsidP="00B96DA0">
      <w:pPr>
        <w:tabs>
          <w:tab w:val="left" w:pos="1418"/>
        </w:tabs>
        <w:spacing w:after="120"/>
        <w:ind w:firstLine="600"/>
        <w:rPr>
          <w:lang w:val="pt-BR"/>
        </w:rPr>
      </w:pPr>
      <w:r>
        <w:tab/>
      </w:r>
      <w:r>
        <w:tab/>
        <w:t xml:space="preserve">Paragrafo único. A periodicidade de atualização, o conteúdo mínimo e o nível de detalhamento dos planos de segurança deverão ser estabelecidos pelo órgão fiscalizador, </w:t>
      </w:r>
      <w:r>
        <w:rPr>
          <w:lang w:val="pt-BR"/>
        </w:rPr>
        <w:t xml:space="preserve">em função da categoria de risco, do dano potencial associado e do seu volume. </w:t>
      </w:r>
    </w:p>
    <w:p w14:paraId="29D08CD8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0"/>
        <w:jc w:val="both"/>
      </w:pPr>
      <w:r>
        <w:rPr>
          <w:color w:val="000000"/>
        </w:rPr>
        <w:lastRenderedPageBreak/>
        <w:tab/>
        <w:t>Art. 5º. O Plano de segurança de barragem deverá ser atualizado em decorrência das inspeções regulares e especiais e das revisões periódicas de segurança da barragem, incorporando suas exigências e recomendações</w:t>
      </w:r>
      <w:r>
        <w:t xml:space="preserve">. </w:t>
      </w:r>
    </w:p>
    <w:p w14:paraId="40B80326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 xml:space="preserve">Art. 6º. Os órgãos fiscalizadores poderão estabelecer prazos para elaboração da primeira edição do Plano de Segurança das barragens existentes, em função da categoria de risco, do dano potencial e do volume. </w:t>
      </w:r>
    </w:p>
    <w:p w14:paraId="6E5DA9FC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</w:p>
    <w:p w14:paraId="1A4F18F1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0"/>
        <w:jc w:val="center"/>
      </w:pPr>
      <w:r>
        <w:t>CAPÍTULO IV</w:t>
      </w:r>
    </w:p>
    <w:p w14:paraId="677C9AB5" w14:textId="77777777" w:rsidR="00B96DA0" w:rsidRPr="006462AD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0"/>
        <w:jc w:val="center"/>
        <w:rPr>
          <w:bCs/>
        </w:rPr>
      </w:pPr>
      <w:r w:rsidRPr="006462AD">
        <w:rPr>
          <w:bCs/>
        </w:rPr>
        <w:t>DO RELATÓRIO DE SEGURANÇA DE BARRAGENS</w:t>
      </w:r>
    </w:p>
    <w:p w14:paraId="324804B2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center"/>
        <w:rPr>
          <w:b/>
          <w:bCs/>
        </w:rPr>
      </w:pPr>
    </w:p>
    <w:p w14:paraId="0FE8EC92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rPr>
          <w:color w:val="000000"/>
        </w:rPr>
        <w:t xml:space="preserve">Art. 7º. </w:t>
      </w:r>
      <w:r>
        <w:t>O Relatório de Segurança de Barragens deverá conter, no mínimo, informações atualizadas sobre:</w:t>
      </w:r>
    </w:p>
    <w:p w14:paraId="75C85096" w14:textId="77777777" w:rsidR="00B96DA0" w:rsidRDefault="00B96DA0" w:rsidP="00B96DA0">
      <w:pPr>
        <w:spacing w:after="120"/>
        <w:ind w:left="1459"/>
      </w:pPr>
      <w:r>
        <w:rPr>
          <w:color w:val="000000"/>
        </w:rPr>
        <w:t>I - os cadastros de barragens mantidos pelos órgãos fiscalizadores</w:t>
      </w:r>
      <w:r>
        <w:t>;</w:t>
      </w:r>
    </w:p>
    <w:p w14:paraId="20C8897F" w14:textId="77777777" w:rsidR="00B96DA0" w:rsidRDefault="00B96DA0" w:rsidP="00B96DA0">
      <w:pPr>
        <w:spacing w:after="120"/>
        <w:ind w:left="1459"/>
      </w:pPr>
      <w:r>
        <w:t>II - a implementação da Política Nacional de Segurança de Barragens;</w:t>
      </w:r>
    </w:p>
    <w:p w14:paraId="484FA27B" w14:textId="77777777" w:rsidR="00B96DA0" w:rsidRDefault="00B96DA0" w:rsidP="00B96DA0">
      <w:pPr>
        <w:spacing w:after="120"/>
        <w:ind w:left="1486"/>
      </w:pPr>
      <w:r>
        <w:t xml:space="preserve">III - a relação das barragens que apresentem categoria de risco alto; </w:t>
      </w:r>
    </w:p>
    <w:p w14:paraId="32191E41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>IV - as principais ações para melhoria da segurança de barragem implementadas pelos empreendedores;</w:t>
      </w:r>
    </w:p>
    <w:p w14:paraId="08AA67BA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>V - a descrição dos principais acidentes e incidentes durante o período de competência do relatório, bem como análise por parte dos empreendedores e o respectivo órgão fiscalizador sobre as causas, consequências e medidas adotadas;</w:t>
      </w:r>
    </w:p>
    <w:p w14:paraId="0C5A0252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rPr>
          <w:color w:val="000000"/>
        </w:rPr>
        <w:t xml:space="preserve">VI - a relação dos órgãos fiscalizadores que enviaram informações para a ANA com a síntese das informações </w:t>
      </w:r>
      <w:r>
        <w:t>enviadas;</w:t>
      </w:r>
    </w:p>
    <w:p w14:paraId="7417BCA8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>VII - os recursos dos orçamentos fiscais da União e dos Estados previstos e investidos em ações para a segurança de barragens.</w:t>
      </w:r>
    </w:p>
    <w:p w14:paraId="4DAD7410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>Art. 8º. A ANA será responsável pela coordenação da elaboração do Relatório de Segurança de Barragens e os órgãos fiscalizadores responsáveis pelas informações.</w:t>
      </w:r>
    </w:p>
    <w:p w14:paraId="124A6D8C" w14:textId="420E8CAB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 xml:space="preserve">Art.9º. O Relatório de Segurança de Barragens deverá compreender o período entre </w:t>
      </w:r>
      <w:r w:rsidR="009554A3">
        <w:t>1º de janeiro e 31 de dezembro</w:t>
      </w:r>
      <w:r>
        <w:t xml:space="preserve"> do ano de referência do relatório.</w:t>
      </w:r>
    </w:p>
    <w:p w14:paraId="4C593E45" w14:textId="3BFAFAC6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</w:pPr>
      <w:r>
        <w:t xml:space="preserve">Art. 10.  A ANA, até 30 de </w:t>
      </w:r>
      <w:r w:rsidR="009554A3">
        <w:t xml:space="preserve">setembro </w:t>
      </w:r>
      <w:r>
        <w:t>de cada ano, poderá estabelecer o conteúdo das contribuições e formulários padronizados para recebimento das informações que comporão o Relatório de Segurança de Barragens, devendo ser disponibilizados em seu sitio eletrônico.</w:t>
      </w:r>
    </w:p>
    <w:p w14:paraId="16B6AF91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</w:pPr>
      <w:r>
        <w:t xml:space="preserve">Parágrafo único. Caso a ANA não estabeleça o disposto no </w:t>
      </w:r>
      <w:r>
        <w:rPr>
          <w:i/>
        </w:rPr>
        <w:t>caput</w:t>
      </w:r>
      <w:r>
        <w:t xml:space="preserve"> será mantido o conteúdo mínimo e os formulários adotados no exercício do ano anterior.</w:t>
      </w:r>
    </w:p>
    <w:p w14:paraId="797A00A0" w14:textId="26735419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</w:pPr>
      <w:r>
        <w:t xml:space="preserve">Art.11. Os empreendedores terão prazo até 31 de </w:t>
      </w:r>
      <w:r w:rsidR="009554A3">
        <w:t xml:space="preserve">janeiro </w:t>
      </w:r>
      <w:r>
        <w:t>de cada ano para enviar aos órgãos fiscalizadores as informações necessárias para elaboração do Relatório de Segurança de Barragens.</w:t>
      </w:r>
    </w:p>
    <w:p w14:paraId="5876E7BE" w14:textId="67B1A2E8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</w:pPr>
      <w:r>
        <w:t>Art.12. Os órgãos fiscalizadores terão prazo até 3</w:t>
      </w:r>
      <w:r w:rsidR="009554A3">
        <w:t>0</w:t>
      </w:r>
      <w:r>
        <w:t xml:space="preserve"> de </w:t>
      </w:r>
      <w:r w:rsidR="009554A3">
        <w:t xml:space="preserve">abril </w:t>
      </w:r>
      <w:r>
        <w:t>de cada ano para enviar à ANA as informações necessárias para a elaboração do Relatório de Segurança de Barragens.</w:t>
      </w:r>
    </w:p>
    <w:p w14:paraId="64A55A55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</w:pPr>
      <w:r>
        <w:t>Parágrafo único. A ANA deverá informar no Relatório de Segurança de Barragens o não recebimento das informações solicitadas aos órgãos fiscalizadores.</w:t>
      </w:r>
    </w:p>
    <w:p w14:paraId="368767D0" w14:textId="24C38084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lastRenderedPageBreak/>
        <w:t xml:space="preserve">Art.13.  A ANA deverá encaminhar o Relatório de Segurança de Barragens ao CNRH até 31 de </w:t>
      </w:r>
      <w:r w:rsidR="009554A3">
        <w:t>agosto</w:t>
      </w:r>
      <w:r>
        <w:t>, de forma consolidada.</w:t>
      </w:r>
    </w:p>
    <w:p w14:paraId="03A676D9" w14:textId="49D849A5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 w:rsidRPr="00CB625C">
        <w:t xml:space="preserve">Art.14. </w:t>
      </w:r>
      <w:r w:rsidR="00456DD8" w:rsidRPr="00CB625C">
        <w:t>A CTAP analisará o relatório</w:t>
      </w:r>
      <w:r w:rsidRPr="00CB625C">
        <w:t xml:space="preserve"> elaborado pela ANA</w:t>
      </w:r>
      <w:r w:rsidR="00456DD8" w:rsidRPr="00CB625C">
        <w:t xml:space="preserve"> e poderá </w:t>
      </w:r>
      <w:r w:rsidRPr="00CB625C">
        <w:t>propor recomendações para a melhoria da segurança de barragens.</w:t>
      </w:r>
    </w:p>
    <w:p w14:paraId="0C0D2BF3" w14:textId="5FE12CA6" w:rsidR="00CB625C" w:rsidRPr="005E3047" w:rsidRDefault="00CB625C" w:rsidP="00CB625C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4472C4" w:themeColor="accent5"/>
        </w:rPr>
      </w:pPr>
      <w:r w:rsidRPr="005E3047">
        <w:rPr>
          <w:color w:val="4472C4" w:themeColor="accent5"/>
        </w:rPr>
        <w:t xml:space="preserve">Parágrafo único. </w:t>
      </w:r>
      <w:r>
        <w:rPr>
          <w:color w:val="4472C4" w:themeColor="accent5"/>
        </w:rPr>
        <w:t>A análise será feita por meio de um Grupo de Trabalho, constituído</w:t>
      </w:r>
      <w:bookmarkStart w:id="0" w:name="_GoBack"/>
      <w:bookmarkEnd w:id="0"/>
      <w:r>
        <w:rPr>
          <w:color w:val="4472C4" w:themeColor="accent5"/>
        </w:rPr>
        <w:t xml:space="preserve"> no máximo por dois membros de cada segmento representado na CTAP. </w:t>
      </w:r>
      <w:r w:rsidRPr="009B31A5">
        <w:rPr>
          <w:color w:val="FF0000"/>
          <w:lang w:eastAsia="pt-BR"/>
        </w:rPr>
        <w:t>(Incluído pela Secretaria Executiva do CNRH).</w:t>
      </w:r>
    </w:p>
    <w:p w14:paraId="1E6B0E38" w14:textId="77777777" w:rsidR="00CB625C" w:rsidRPr="00CB625C" w:rsidRDefault="00CB625C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</w:p>
    <w:p w14:paraId="242A25F8" w14:textId="2AC6E2FE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rPr>
          <w:color w:val="000000"/>
        </w:rPr>
        <w:t>Art.15. Cabe ao CNRH, anualmente, apreciar o Relatório de Segurança de Barragens, fazendo, se necessário, recomendações para melhoria da segurança das obras, bem como encaminhá-lo ao Congresso Nacional até</w:t>
      </w:r>
      <w:r w:rsidR="00060CD0">
        <w:rPr>
          <w:color w:val="000000"/>
        </w:rPr>
        <w:t xml:space="preserve"> </w:t>
      </w:r>
      <w:r w:rsidR="00060CD0" w:rsidRPr="00060CD0">
        <w:rPr>
          <w:color w:val="4472C4" w:themeColor="accent5"/>
        </w:rPr>
        <w:t>31</w:t>
      </w:r>
      <w:r w:rsidRPr="00060CD0">
        <w:rPr>
          <w:color w:val="4472C4" w:themeColor="accent5"/>
        </w:rPr>
        <w:t xml:space="preserve"> de </w:t>
      </w:r>
      <w:r w:rsidR="00623B36" w:rsidRPr="00060CD0">
        <w:rPr>
          <w:color w:val="4472C4" w:themeColor="accent5"/>
        </w:rPr>
        <w:t xml:space="preserve">dezembro </w:t>
      </w:r>
      <w:r>
        <w:rPr>
          <w:color w:val="000000"/>
        </w:rPr>
        <w:t xml:space="preserve">de cada </w:t>
      </w:r>
      <w:r>
        <w:t xml:space="preserve">ano. </w:t>
      </w:r>
    </w:p>
    <w:p w14:paraId="7FFF6B57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right="0"/>
        <w:jc w:val="center"/>
        <w:rPr>
          <w:color w:val="000000"/>
        </w:rPr>
      </w:pPr>
    </w:p>
    <w:p w14:paraId="04C5D70E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0"/>
        <w:jc w:val="center"/>
      </w:pPr>
      <w:r>
        <w:t>CAPÍTULO V</w:t>
      </w:r>
    </w:p>
    <w:p w14:paraId="34D7DDAC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0"/>
        <w:jc w:val="center"/>
      </w:pPr>
      <w:r w:rsidRPr="006462AD">
        <w:t>DO SISTEMA NACIONAL DE INFORMAÇÕE</w:t>
      </w:r>
      <w:r>
        <w:t xml:space="preserve">S SOBRE SEGURANÇA DE BARRAGENS – </w:t>
      </w:r>
      <w:r w:rsidRPr="006462AD">
        <w:t>SNISB</w:t>
      </w:r>
    </w:p>
    <w:p w14:paraId="585FE20E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rPr>
          <w:color w:val="000000"/>
        </w:rPr>
        <w:t xml:space="preserve">Art. 16. </w:t>
      </w:r>
      <w:r>
        <w:t>O Sistema Nacional de Segurança de Barragens - SNISB tem o objetivo de coletar, armazenar, tratar, gerir e disponibilizar para a sociedade as informações relacionadas à segurança de barragens em todo o território nacional.</w:t>
      </w:r>
    </w:p>
    <w:p w14:paraId="7170135E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right="0"/>
        <w:jc w:val="both"/>
      </w:pPr>
      <w:r>
        <w:rPr>
          <w:color w:val="000000"/>
        </w:rPr>
        <w:t xml:space="preserve">Art. 17. São responsáveis diretos pelas informações do </w:t>
      </w:r>
      <w:r>
        <w:t>SNISB:</w:t>
      </w:r>
    </w:p>
    <w:p w14:paraId="73A3E6A5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left="1445" w:right="0" w:firstLine="0"/>
        <w:jc w:val="both"/>
      </w:pPr>
      <w:r>
        <w:t>I -  Agência Nacional de Águas (ANA), como gestora e fiscalizadora;</w:t>
      </w:r>
    </w:p>
    <w:p w14:paraId="71D43E8D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>II - órgãos fiscalizadores, conforme definido no artigo 5º da Lei nº 12.334, de 2010;</w:t>
      </w:r>
    </w:p>
    <w:p w14:paraId="767095BD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left="1445" w:right="0" w:firstLine="0"/>
        <w:jc w:val="both"/>
      </w:pPr>
      <w:r>
        <w:t>III – empreendedores.</w:t>
      </w:r>
    </w:p>
    <w:p w14:paraId="582D70DD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right="0"/>
        <w:jc w:val="both"/>
      </w:pPr>
      <w:r>
        <w:rPr>
          <w:color w:val="000000"/>
        </w:rPr>
        <w:t xml:space="preserve">Art. 18. Compete à ANA, como gestora do </w:t>
      </w:r>
      <w:r>
        <w:t>SNISB:</w:t>
      </w:r>
    </w:p>
    <w:p w14:paraId="624FBC34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I - desenvolver plataforma informatizada para sistema de coleta, tratamento, armazenamento e recuperação de informações, devendo contemplar barragens em construção, em operação e desativadas;</w:t>
      </w:r>
    </w:p>
    <w:p w14:paraId="27F402A4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 xml:space="preserve">II - estabelecer mecanismos e coordenar a troca de informações com os demais </w:t>
      </w:r>
      <w:r w:rsidR="00A1610A">
        <w:rPr>
          <w:color w:val="000000"/>
        </w:rPr>
        <w:t>órgãos</w:t>
      </w:r>
      <w:r>
        <w:rPr>
          <w:color w:val="000000"/>
        </w:rPr>
        <w:t xml:space="preserve"> fiscalizadores;</w:t>
      </w:r>
    </w:p>
    <w:p w14:paraId="571608B2" w14:textId="77777777" w:rsidR="00B96DA0" w:rsidRPr="004B6555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III - definir as informações que deverão compor o SNISB em articulação com os demais órgãos fiscalizadores; e</w:t>
      </w:r>
    </w:p>
    <w:p w14:paraId="03587A92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IV - disponibilizar o acesso a dados e informações para a sociedade por meio da Rede Mundial de Computadores.</w:t>
      </w:r>
    </w:p>
    <w:p w14:paraId="7462E7B6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right="0"/>
        <w:jc w:val="both"/>
      </w:pPr>
      <w:r>
        <w:rPr>
          <w:color w:val="000000"/>
        </w:rPr>
        <w:t>Art. 19. Compete aos órgãos fiscalizadore</w:t>
      </w:r>
      <w:r>
        <w:t xml:space="preserve">s: </w:t>
      </w:r>
    </w:p>
    <w:p w14:paraId="1160258F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I - manter cadastro atualizado das barragens sob sua jurisdição;</w:t>
      </w:r>
    </w:p>
    <w:p w14:paraId="308D9CEB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II - disponibilizar permanentemente o cadastro e demais informações sobre as barragens sob sua jurisdição e em formato que permita sua integração ao SNISB, em prazo a ser definido pela ANA em articulação com os órgãos fiscalizadores;</w:t>
      </w:r>
    </w:p>
    <w:p w14:paraId="43C99F2A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III - manter atualizada no SNISB a classificação das barragens sob sua jurisdição por categoria de risco, por dano potencial associado e pelo seu volume;</w:t>
      </w:r>
    </w:p>
    <w:p w14:paraId="28EBE627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right="0"/>
        <w:jc w:val="both"/>
        <w:rPr>
          <w:color w:val="000000"/>
        </w:rPr>
      </w:pPr>
      <w:r>
        <w:rPr>
          <w:color w:val="000000"/>
        </w:rPr>
        <w:t>Art. 20. Compete aos empreendedores</w:t>
      </w:r>
      <w:r>
        <w:t>:</w:t>
      </w:r>
      <w:r>
        <w:rPr>
          <w:color w:val="000000"/>
        </w:rPr>
        <w:t xml:space="preserve"> </w:t>
      </w:r>
    </w:p>
    <w:p w14:paraId="7CE91C1D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0"/>
        <w:jc w:val="both"/>
        <w:rPr>
          <w:color w:val="000000"/>
        </w:rPr>
      </w:pPr>
      <w:r>
        <w:rPr>
          <w:color w:val="000000"/>
        </w:rPr>
        <w:lastRenderedPageBreak/>
        <w:tab/>
        <w:t>I - manter atualizadas as informações cadastrais relativas às suas barragens junto ao respectivo órgão fiscalizador;</w:t>
      </w:r>
    </w:p>
    <w:p w14:paraId="15E87C59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0"/>
        <w:jc w:val="both"/>
        <w:rPr>
          <w:color w:val="000000"/>
        </w:rPr>
      </w:pPr>
      <w:r>
        <w:rPr>
          <w:color w:val="000000"/>
        </w:rPr>
        <w:tab/>
        <w:t>II - articular-se com o órgão fiscalizador, com intuito de permitir um adequado fluxo de informações.</w:t>
      </w:r>
    </w:p>
    <w:p w14:paraId="12F726E5" w14:textId="77777777" w:rsidR="00B96DA0" w:rsidRDefault="00B96DA0" w:rsidP="00B96DA0">
      <w:pPr>
        <w:pStyle w:val="Recuodecorpodetexto21"/>
        <w:tabs>
          <w:tab w:val="left" w:pos="1440"/>
        </w:tabs>
        <w:spacing w:after="120"/>
        <w:ind w:right="0"/>
        <w:jc w:val="both"/>
      </w:pPr>
      <w:r>
        <w:rPr>
          <w:color w:val="000000"/>
        </w:rPr>
        <w:t xml:space="preserve">Art. 21. O SNISB deverá </w:t>
      </w:r>
      <w:r>
        <w:t>buscar a integração e a troca de informações, no que couber, com:</w:t>
      </w:r>
    </w:p>
    <w:p w14:paraId="2E9BDA63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</w:pPr>
      <w:r>
        <w:t xml:space="preserve">I – o Sistema Nacional de Informações sobre o Meio Ambiente- SINIMA; </w:t>
      </w:r>
    </w:p>
    <w:p w14:paraId="2C15CE79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  <w:rPr>
          <w:color w:val="000000"/>
        </w:rPr>
      </w:pPr>
      <w:r>
        <w:t xml:space="preserve">II – o </w:t>
      </w:r>
      <w:r>
        <w:rPr>
          <w:color w:val="000000"/>
        </w:rPr>
        <w:t>Cadastro Técnico Federal de Atividades e Instrumentos de Defesa Ambiental;</w:t>
      </w:r>
    </w:p>
    <w:p w14:paraId="5B9ECEDF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  <w:rPr>
          <w:color w:val="000000"/>
        </w:rPr>
      </w:pPr>
      <w:r>
        <w:rPr>
          <w:color w:val="000000"/>
        </w:rPr>
        <w:t>III – o Cadastro Técnico Federal de Atividades Potencialmente Poluidoras ou Utilizadoras de Recursos Ambientais;</w:t>
      </w:r>
    </w:p>
    <w:p w14:paraId="767335D2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  <w:rPr>
          <w:color w:val="000000"/>
        </w:rPr>
      </w:pPr>
      <w:r>
        <w:rPr>
          <w:color w:val="000000"/>
        </w:rPr>
        <w:t>IV - O Sistema Nacional de Informações sobre Recursos Hídricos – SNIRH;</w:t>
      </w:r>
    </w:p>
    <w:p w14:paraId="5060AE55" w14:textId="77777777" w:rsidR="00CA6201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  <w:rPr>
          <w:color w:val="000000"/>
        </w:rPr>
      </w:pPr>
      <w:r>
        <w:rPr>
          <w:color w:val="000000"/>
        </w:rPr>
        <w:t>V – demais sistemas relacionados com segurança de barragens.</w:t>
      </w:r>
    </w:p>
    <w:p w14:paraId="0F5FA1AC" w14:textId="55DCB6BB" w:rsidR="00CA6201" w:rsidRDefault="00CA6201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  <w:rPr>
          <w:color w:val="000000"/>
        </w:rPr>
      </w:pPr>
    </w:p>
    <w:p w14:paraId="317E5E53" w14:textId="77777777" w:rsidR="009B31A5" w:rsidRPr="00BE260A" w:rsidRDefault="009B31A5" w:rsidP="009B31A5">
      <w:pPr>
        <w:pStyle w:val="Recuodecorpodetexto21"/>
        <w:tabs>
          <w:tab w:val="left" w:pos="1440"/>
          <w:tab w:val="left" w:pos="7598"/>
        </w:tabs>
        <w:spacing w:after="120"/>
        <w:ind w:right="0" w:firstLine="0"/>
        <w:jc w:val="center"/>
        <w:rPr>
          <w:color w:val="4472C4" w:themeColor="accent5"/>
        </w:rPr>
      </w:pPr>
      <w:r w:rsidRPr="00BE260A">
        <w:rPr>
          <w:color w:val="4472C4" w:themeColor="accent5"/>
        </w:rPr>
        <w:t>CAPÍTULO V</w:t>
      </w:r>
    </w:p>
    <w:p w14:paraId="57F57456" w14:textId="77777777" w:rsidR="009B31A5" w:rsidRPr="00BE260A" w:rsidRDefault="009B31A5" w:rsidP="009B31A5">
      <w:pPr>
        <w:pStyle w:val="Recuodecorpodetexto21"/>
        <w:tabs>
          <w:tab w:val="left" w:pos="1440"/>
          <w:tab w:val="left" w:pos="7598"/>
        </w:tabs>
        <w:spacing w:after="120"/>
        <w:ind w:right="0" w:firstLine="0"/>
        <w:jc w:val="center"/>
        <w:rPr>
          <w:color w:val="4472C4" w:themeColor="accent5"/>
        </w:rPr>
      </w:pPr>
      <w:r w:rsidRPr="00BE260A">
        <w:rPr>
          <w:color w:val="4472C4" w:themeColor="accent5"/>
        </w:rPr>
        <w:t>DISPOSIÇÕES FINAIS E TRANSITÓRIAS</w:t>
      </w:r>
    </w:p>
    <w:p w14:paraId="7E7CED71" w14:textId="77777777" w:rsidR="009B31A5" w:rsidRPr="00BE260A" w:rsidRDefault="009B31A5" w:rsidP="009B31A5">
      <w:pPr>
        <w:pStyle w:val="Recuodecorpodetexto21"/>
        <w:tabs>
          <w:tab w:val="left" w:pos="1440"/>
          <w:tab w:val="left" w:pos="7598"/>
        </w:tabs>
        <w:spacing w:after="120"/>
        <w:ind w:right="0" w:firstLine="0"/>
        <w:jc w:val="both"/>
        <w:rPr>
          <w:color w:val="4472C4" w:themeColor="accent5"/>
        </w:rPr>
      </w:pPr>
    </w:p>
    <w:p w14:paraId="19ADFEF7" w14:textId="431B0766" w:rsidR="009B31A5" w:rsidRDefault="009B31A5" w:rsidP="009B31A5">
      <w:pPr>
        <w:pStyle w:val="Recuodecorpodetexto21"/>
        <w:tabs>
          <w:tab w:val="left" w:pos="7598"/>
        </w:tabs>
        <w:spacing w:after="120"/>
        <w:ind w:right="0"/>
        <w:jc w:val="both"/>
        <w:rPr>
          <w:color w:val="FF0000"/>
          <w:lang w:eastAsia="pt-BR"/>
        </w:rPr>
      </w:pPr>
      <w:r w:rsidRPr="00BE260A">
        <w:rPr>
          <w:color w:val="4472C4" w:themeColor="accent5"/>
          <w:lang w:eastAsia="pt-BR"/>
        </w:rPr>
        <w:t>Art. 21-A. Os prazos mencionados nos artigos 9º a 13 e no artigo 15 serão aplicáveis a partir da elaboração do Relatório de Segurança de Barragens referente ao ano de 2016.</w:t>
      </w:r>
      <w:r>
        <w:rPr>
          <w:lang w:eastAsia="pt-BR"/>
        </w:rPr>
        <w:t xml:space="preserve"> </w:t>
      </w:r>
      <w:r w:rsidRPr="00BE260A">
        <w:rPr>
          <w:color w:val="FF0000"/>
          <w:lang w:eastAsia="pt-BR"/>
        </w:rPr>
        <w:t>(Incluído pelo presidente da CTAP, Sr. Paulo Isobe, conforme conclusão do Parecer Técnico conclusivo)</w:t>
      </w:r>
    </w:p>
    <w:p w14:paraId="7EF79A55" w14:textId="7BE8BD9D" w:rsidR="009B31A5" w:rsidRDefault="009B31A5" w:rsidP="009B31A5">
      <w:pPr>
        <w:pStyle w:val="Recuodecorpodetexto21"/>
        <w:tabs>
          <w:tab w:val="left" w:pos="7598"/>
        </w:tabs>
        <w:spacing w:after="120"/>
        <w:ind w:right="0"/>
        <w:jc w:val="both"/>
        <w:rPr>
          <w:color w:val="FF0000"/>
          <w:lang w:eastAsia="pt-BR"/>
        </w:rPr>
      </w:pPr>
    </w:p>
    <w:p w14:paraId="2ABF314A" w14:textId="4261D862" w:rsidR="009B31A5" w:rsidRDefault="009B31A5" w:rsidP="009B31A5">
      <w:pPr>
        <w:pStyle w:val="Recuodecorpodetexto21"/>
        <w:tabs>
          <w:tab w:val="left" w:pos="7598"/>
        </w:tabs>
        <w:spacing w:after="120"/>
        <w:ind w:right="0"/>
        <w:jc w:val="both"/>
        <w:rPr>
          <w:color w:val="000000"/>
        </w:rPr>
      </w:pPr>
      <w:r w:rsidRPr="009B31A5">
        <w:rPr>
          <w:color w:val="4472C4" w:themeColor="accent5"/>
          <w:lang w:eastAsia="pt-BR"/>
        </w:rPr>
        <w:t xml:space="preserve">Art. 21-B. Os procedimentos de avaliação do Relatório </w:t>
      </w:r>
      <w:r w:rsidRPr="00BE260A">
        <w:rPr>
          <w:color w:val="4472C4" w:themeColor="accent5"/>
          <w:lang w:eastAsia="pt-BR"/>
        </w:rPr>
        <w:t>de Segurança de Barragens referente ao ano</w:t>
      </w:r>
      <w:r>
        <w:rPr>
          <w:color w:val="4472C4" w:themeColor="accent5"/>
          <w:lang w:eastAsia="pt-BR"/>
        </w:rPr>
        <w:t xml:space="preserve"> de 2015 seguirão o previsto na Resolução CNRH nº 144 de julho de 2012 </w:t>
      </w:r>
      <w:r w:rsidRPr="009B31A5">
        <w:rPr>
          <w:color w:val="FF0000"/>
          <w:lang w:eastAsia="pt-BR"/>
        </w:rPr>
        <w:t xml:space="preserve">(Incluído pela Secretaria Executiva do CNRH). </w:t>
      </w:r>
    </w:p>
    <w:p w14:paraId="0F5B0292" w14:textId="77777777" w:rsidR="009B31A5" w:rsidRDefault="009B31A5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  <w:rPr>
          <w:color w:val="000000"/>
        </w:rPr>
      </w:pPr>
    </w:p>
    <w:p w14:paraId="3CE4C04F" w14:textId="1E70CA2B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  <w:rPr>
          <w:color w:val="000000"/>
        </w:rPr>
      </w:pPr>
      <w:r>
        <w:rPr>
          <w:color w:val="000000"/>
        </w:rPr>
        <w:t xml:space="preserve">  </w:t>
      </w:r>
    </w:p>
    <w:p w14:paraId="2EB27CD4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Art. 22. Esta Resolução entra em vigor na data de sua publicação.</w:t>
      </w:r>
    </w:p>
    <w:p w14:paraId="106B9A99" w14:textId="77777777"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</w:p>
    <w:p w14:paraId="0B16A14C" w14:textId="77777777" w:rsidR="00B96DA0" w:rsidRDefault="00B96DA0" w:rsidP="00B96DA0">
      <w:pPr>
        <w:autoSpaceDE w:val="0"/>
        <w:spacing w:after="120"/>
        <w:rPr>
          <w:color w:val="000000"/>
          <w:lang w:val="pt-BR"/>
        </w:rPr>
      </w:pPr>
    </w:p>
    <w:p w14:paraId="7E369F8C" w14:textId="77777777" w:rsidR="00B96DA0" w:rsidRDefault="00B96DA0" w:rsidP="00B96DA0">
      <w:pPr>
        <w:autoSpaceDE w:val="0"/>
        <w:spacing w:after="120"/>
        <w:rPr>
          <w:color w:val="000000"/>
          <w:lang w:val="pt-BR"/>
        </w:rPr>
      </w:pPr>
    </w:p>
    <w:p w14:paraId="1093ADE1" w14:textId="77777777" w:rsidR="00B96DA0" w:rsidRDefault="00B96DA0" w:rsidP="00B96DA0">
      <w:pPr>
        <w:autoSpaceDE w:val="0"/>
        <w:spacing w:after="120"/>
        <w:rPr>
          <w:color w:val="000000"/>
          <w:lang w:val="pt-B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952"/>
      </w:tblGrid>
      <w:tr w:rsidR="00B96DA0" w14:paraId="229F3002" w14:textId="77777777" w:rsidTr="002C14C8">
        <w:tc>
          <w:tcPr>
            <w:tcW w:w="4685" w:type="dxa"/>
          </w:tcPr>
          <w:p w14:paraId="0C82597F" w14:textId="77777777" w:rsidR="00B96DA0" w:rsidRDefault="00B96DA0" w:rsidP="002C14C8">
            <w:pPr>
              <w:snapToGrid w:val="0"/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IZABELLA TEIXEIRA</w:t>
            </w:r>
          </w:p>
        </w:tc>
        <w:tc>
          <w:tcPr>
            <w:tcW w:w="4952" w:type="dxa"/>
          </w:tcPr>
          <w:p w14:paraId="7FB01EEC" w14:textId="1AFD609D" w:rsidR="00B96DA0" w:rsidRDefault="00C1102A" w:rsidP="002C14C8">
            <w:pPr>
              <w:snapToGrid w:val="0"/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CASSANDRA MARONI NUNES</w:t>
            </w:r>
          </w:p>
        </w:tc>
      </w:tr>
      <w:tr w:rsidR="00B96DA0" w14:paraId="3028233E" w14:textId="77777777" w:rsidTr="002C14C8">
        <w:tc>
          <w:tcPr>
            <w:tcW w:w="4685" w:type="dxa"/>
          </w:tcPr>
          <w:p w14:paraId="50018256" w14:textId="77777777" w:rsidR="00B96DA0" w:rsidRDefault="00B96DA0" w:rsidP="002C14C8">
            <w:pPr>
              <w:snapToGrid w:val="0"/>
              <w:spacing w:after="120"/>
              <w:jc w:val="center"/>
              <w:rPr>
                <w:bCs/>
              </w:rPr>
            </w:pPr>
            <w:r>
              <w:rPr>
                <w:bCs/>
              </w:rPr>
              <w:t>Presidente</w:t>
            </w:r>
          </w:p>
        </w:tc>
        <w:tc>
          <w:tcPr>
            <w:tcW w:w="4952" w:type="dxa"/>
          </w:tcPr>
          <w:p w14:paraId="64F1ED44" w14:textId="3D590FDA" w:rsidR="00B96DA0" w:rsidRDefault="00B96DA0" w:rsidP="002C14C8">
            <w:pPr>
              <w:snapToGrid w:val="0"/>
              <w:spacing w:after="120"/>
              <w:jc w:val="center"/>
              <w:rPr>
                <w:bCs/>
              </w:rPr>
            </w:pPr>
            <w:r>
              <w:rPr>
                <w:bCs/>
              </w:rPr>
              <w:t>Secretári</w:t>
            </w:r>
            <w:r w:rsidR="001C6A80">
              <w:rPr>
                <w:bCs/>
              </w:rPr>
              <w:t>a</w:t>
            </w:r>
            <w:r>
              <w:rPr>
                <w:bCs/>
              </w:rPr>
              <w:t xml:space="preserve"> Executiv</w:t>
            </w:r>
            <w:r w:rsidR="001C6A80">
              <w:rPr>
                <w:bCs/>
              </w:rPr>
              <w:t>a</w:t>
            </w:r>
          </w:p>
        </w:tc>
      </w:tr>
    </w:tbl>
    <w:p w14:paraId="0EDCDDB0" w14:textId="77777777" w:rsidR="00B96DA0" w:rsidRDefault="00B96DA0" w:rsidP="00B96DA0">
      <w:pPr>
        <w:spacing w:after="120"/>
      </w:pPr>
    </w:p>
    <w:p w14:paraId="4A316C73" w14:textId="77777777" w:rsidR="00B96DA0" w:rsidRDefault="00B96DA0" w:rsidP="00B96DA0">
      <w:pPr>
        <w:pStyle w:val="NormalWeb"/>
        <w:spacing w:before="0" w:beforeAutospacing="0" w:after="120" w:afterAutospacing="0"/>
        <w:rPr>
          <w:rFonts w:ascii="Arial" w:hAnsi="Arial" w:cs="Arial"/>
          <w:sz w:val="20"/>
          <w:szCs w:val="20"/>
        </w:rPr>
      </w:pPr>
    </w:p>
    <w:p w14:paraId="651A4481" w14:textId="77777777" w:rsidR="00B96DA0" w:rsidRDefault="00B96DA0" w:rsidP="00B96DA0">
      <w:pPr>
        <w:pStyle w:val="NormalWeb"/>
        <w:spacing w:before="0" w:beforeAutospacing="0" w:after="12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p w14:paraId="3BC2E2B4" w14:textId="77777777" w:rsidR="00B96DA0" w:rsidRPr="0025528A" w:rsidRDefault="00B96DA0" w:rsidP="00B96DA0">
      <w:pPr>
        <w:pStyle w:val="NormalWeb"/>
        <w:spacing w:before="0" w:beforeAutospacing="0" w:after="120" w:afterAutospacing="0"/>
        <w:rPr>
          <w:color w:val="000000"/>
        </w:rPr>
      </w:pPr>
      <w:r>
        <w:rPr>
          <w:rFonts w:ascii="Arial" w:hAnsi="Arial" w:cs="Arial"/>
          <w:sz w:val="20"/>
          <w:szCs w:val="20"/>
        </w:rPr>
        <w:t> </w:t>
      </w:r>
    </w:p>
    <w:p w14:paraId="3E7FE510" w14:textId="77777777" w:rsidR="00B96DA0" w:rsidRPr="0025528A" w:rsidRDefault="00B96DA0" w:rsidP="00B96DA0">
      <w:pPr>
        <w:spacing w:after="120"/>
        <w:jc w:val="center"/>
        <w:rPr>
          <w:color w:val="000000"/>
          <w:sz w:val="48"/>
          <w:lang w:val="pt-BR"/>
        </w:rPr>
      </w:pPr>
    </w:p>
    <w:p w14:paraId="4B837034" w14:textId="77777777" w:rsidR="00B96DA0" w:rsidRPr="0025528A" w:rsidRDefault="00B96DA0" w:rsidP="00B96DA0">
      <w:pPr>
        <w:spacing w:after="120"/>
        <w:rPr>
          <w:b/>
          <w:color w:val="000000"/>
          <w:sz w:val="28"/>
          <w:lang w:val="pt-BR"/>
        </w:rPr>
      </w:pPr>
    </w:p>
    <w:p w14:paraId="0C74491F" w14:textId="77777777" w:rsidR="00B96DA0" w:rsidRPr="0025528A" w:rsidRDefault="00B96DA0" w:rsidP="00B96DA0">
      <w:pPr>
        <w:spacing w:after="120"/>
        <w:rPr>
          <w:b/>
          <w:color w:val="000000"/>
          <w:sz w:val="28"/>
          <w:lang w:val="pt-BR"/>
        </w:rPr>
      </w:pPr>
    </w:p>
    <w:p w14:paraId="6425CFA6" w14:textId="77777777" w:rsidR="00B96DA0" w:rsidRPr="00825289" w:rsidRDefault="00B96DA0" w:rsidP="00B96DA0">
      <w:pPr>
        <w:spacing w:after="120"/>
        <w:rPr>
          <w:lang w:val="pt-BR"/>
        </w:rPr>
      </w:pPr>
    </w:p>
    <w:p w14:paraId="199C05A6" w14:textId="77777777" w:rsidR="00C0566E" w:rsidRDefault="00C0566E"/>
    <w:sectPr w:rsidR="00C0566E" w:rsidSect="003A055E">
      <w:pgSz w:w="11906" w:h="16838" w:code="9"/>
      <w:pgMar w:top="1134" w:right="1134" w:bottom="1701" w:left="1701" w:header="680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D327B" w14:textId="77777777" w:rsidR="00616A5F" w:rsidRDefault="00616A5F" w:rsidP="00623B36">
      <w:r>
        <w:separator/>
      </w:r>
    </w:p>
  </w:endnote>
  <w:endnote w:type="continuationSeparator" w:id="0">
    <w:p w14:paraId="3D8F0CFD" w14:textId="77777777" w:rsidR="00616A5F" w:rsidRDefault="00616A5F" w:rsidP="0062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883D96" w14:textId="77777777" w:rsidR="00616A5F" w:rsidRDefault="00616A5F" w:rsidP="00623B36">
      <w:r>
        <w:separator/>
      </w:r>
    </w:p>
  </w:footnote>
  <w:footnote w:type="continuationSeparator" w:id="0">
    <w:p w14:paraId="65FEA165" w14:textId="77777777" w:rsidR="00616A5F" w:rsidRDefault="00616A5F" w:rsidP="00623B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D45"/>
    <w:rsid w:val="00060CD0"/>
    <w:rsid w:val="000B2D45"/>
    <w:rsid w:val="000B5C75"/>
    <w:rsid w:val="00132EBF"/>
    <w:rsid w:val="001C6A80"/>
    <w:rsid w:val="00350345"/>
    <w:rsid w:val="0037221A"/>
    <w:rsid w:val="00406CBB"/>
    <w:rsid w:val="004131E0"/>
    <w:rsid w:val="00456DD8"/>
    <w:rsid w:val="005075D5"/>
    <w:rsid w:val="00512BAE"/>
    <w:rsid w:val="0056460E"/>
    <w:rsid w:val="005E3047"/>
    <w:rsid w:val="00616A5F"/>
    <w:rsid w:val="00623B36"/>
    <w:rsid w:val="006F1FC3"/>
    <w:rsid w:val="006F309B"/>
    <w:rsid w:val="00724E3A"/>
    <w:rsid w:val="007D7CEB"/>
    <w:rsid w:val="00812231"/>
    <w:rsid w:val="00842330"/>
    <w:rsid w:val="00842719"/>
    <w:rsid w:val="008D74F8"/>
    <w:rsid w:val="009554A3"/>
    <w:rsid w:val="009B31A5"/>
    <w:rsid w:val="00A1610A"/>
    <w:rsid w:val="00B5348C"/>
    <w:rsid w:val="00B64143"/>
    <w:rsid w:val="00B96DA0"/>
    <w:rsid w:val="00BD643C"/>
    <w:rsid w:val="00BF7D41"/>
    <w:rsid w:val="00C0430F"/>
    <w:rsid w:val="00C0566E"/>
    <w:rsid w:val="00C1102A"/>
    <w:rsid w:val="00C26507"/>
    <w:rsid w:val="00C37C56"/>
    <w:rsid w:val="00CA6201"/>
    <w:rsid w:val="00CB625C"/>
    <w:rsid w:val="00CD38B9"/>
    <w:rsid w:val="00D35AC5"/>
    <w:rsid w:val="00DD2E92"/>
    <w:rsid w:val="00E209E5"/>
    <w:rsid w:val="00E307D4"/>
    <w:rsid w:val="00E560C0"/>
    <w:rsid w:val="00EF11CF"/>
    <w:rsid w:val="00FE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244BC"/>
  <w15:docId w15:val="{CD49342C-19A1-4B80-9683-1AEA7A21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COBA Normal"/>
    <w:qFormat/>
    <w:rsid w:val="00B96DA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qFormat/>
    <w:rsid w:val="00B96DA0"/>
    <w:pPr>
      <w:spacing w:after="300"/>
      <w:contextualSpacing/>
      <w:jc w:val="center"/>
    </w:pPr>
    <w:rPr>
      <w:rFonts w:eastAsia="MS Gothic"/>
      <w:b/>
      <w:smallCaps/>
      <w:sz w:val="28"/>
      <w:szCs w:val="52"/>
      <w:lang w:val="en-US" w:eastAsia="en-US"/>
    </w:rPr>
  </w:style>
  <w:style w:type="character" w:customStyle="1" w:styleId="TtuloChar">
    <w:name w:val="Título Char"/>
    <w:basedOn w:val="Fontepargpadro"/>
    <w:link w:val="Ttulo"/>
    <w:rsid w:val="00B96DA0"/>
    <w:rPr>
      <w:rFonts w:ascii="Times New Roman" w:eastAsia="MS Gothic" w:hAnsi="Times New Roman" w:cs="Times New Roman"/>
      <w:b/>
      <w:smallCaps/>
      <w:sz w:val="28"/>
      <w:szCs w:val="52"/>
      <w:lang w:val="en-US"/>
    </w:rPr>
  </w:style>
  <w:style w:type="paragraph" w:styleId="NormalWeb">
    <w:name w:val="Normal (Web)"/>
    <w:basedOn w:val="Normal"/>
    <w:uiPriority w:val="99"/>
    <w:unhideWhenUsed/>
    <w:rsid w:val="00B96DA0"/>
    <w:pPr>
      <w:spacing w:before="100" w:beforeAutospacing="1" w:after="100" w:afterAutospacing="1"/>
      <w:jc w:val="left"/>
    </w:pPr>
    <w:rPr>
      <w:rFonts w:eastAsia="SimSun"/>
      <w:lang w:val="pt-BR" w:eastAsia="pt-BR"/>
    </w:rPr>
  </w:style>
  <w:style w:type="paragraph" w:customStyle="1" w:styleId="Recuodecorpodetexto21">
    <w:name w:val="Recuo de corpo de texto 21"/>
    <w:basedOn w:val="Normal"/>
    <w:rsid w:val="00B96DA0"/>
    <w:pPr>
      <w:suppressAutoHyphens/>
      <w:ind w:right="743" w:firstLine="1418"/>
      <w:jc w:val="left"/>
    </w:pPr>
    <w:rPr>
      <w:lang w:val="pt-BR"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1610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1610A"/>
    <w:rPr>
      <w:rFonts w:ascii="Segoe UI" w:eastAsia="Times New Roman" w:hAnsi="Segoe UI" w:cs="Segoe UI"/>
      <w:sz w:val="18"/>
      <w:szCs w:val="18"/>
      <w:lang w:val="pt-PT" w:eastAsia="pt-PT"/>
    </w:rPr>
  </w:style>
  <w:style w:type="paragraph" w:styleId="Cabealho">
    <w:name w:val="header"/>
    <w:basedOn w:val="Normal"/>
    <w:link w:val="CabealhoChar"/>
    <w:uiPriority w:val="99"/>
    <w:semiHidden/>
    <w:unhideWhenUsed/>
    <w:rsid w:val="00623B3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23B36"/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paragraph" w:styleId="Rodap">
    <w:name w:val="footer"/>
    <w:basedOn w:val="Normal"/>
    <w:link w:val="RodapChar"/>
    <w:uiPriority w:val="99"/>
    <w:semiHidden/>
    <w:unhideWhenUsed/>
    <w:rsid w:val="00623B3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623B36"/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character" w:styleId="Refdecomentrio">
    <w:name w:val="annotation reference"/>
    <w:basedOn w:val="Fontepargpadro"/>
    <w:uiPriority w:val="99"/>
    <w:semiHidden/>
    <w:unhideWhenUsed/>
    <w:rsid w:val="00C0430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0430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0430F"/>
    <w:rPr>
      <w:rFonts w:ascii="Times New Roman" w:eastAsia="Times New Roman" w:hAnsi="Times New Roman" w:cs="Times New Roman"/>
      <w:sz w:val="20"/>
      <w:szCs w:val="20"/>
      <w:lang w:val="pt-PT" w:eastAsia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0430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0430F"/>
    <w:rPr>
      <w:rFonts w:ascii="Times New Roman" w:eastAsia="Times New Roman" w:hAnsi="Times New Roman" w:cs="Times New Roman"/>
      <w:b/>
      <w:bCs/>
      <w:sz w:val="20"/>
      <w:szCs w:val="20"/>
      <w:lang w:val="pt-PT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04070-6CE8-4008-9241-36F6B7E1A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1669</Words>
  <Characters>9014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Laus de Aquino</dc:creator>
  <cp:keywords/>
  <dc:description/>
  <cp:lastModifiedBy>Roseli dos Santos Souza</cp:lastModifiedBy>
  <cp:revision>6</cp:revision>
  <cp:lastPrinted>2016-05-13T13:23:00Z</cp:lastPrinted>
  <dcterms:created xsi:type="dcterms:W3CDTF">2016-05-13T13:10:00Z</dcterms:created>
  <dcterms:modified xsi:type="dcterms:W3CDTF">2016-05-13T22:05:00Z</dcterms:modified>
</cp:coreProperties>
</file>